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1485900</wp:posOffset>
            </wp:positionH>
            <wp:positionV relativeFrom="paragraph">
              <wp:posOffset>0</wp:posOffset>
            </wp:positionV>
            <wp:extent cx="2438400" cy="969010"/>
            <wp:effectExtent b="0" l="0" r="0" t="0"/>
            <wp:wrapSquare wrapText="bothSides" distB="0" distT="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90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18.02.2018</w:t>
      </w:r>
    </w:p>
    <w:p w:rsidR="00000000" w:rsidDel="00000000" w:rsidP="00000000" w:rsidRDefault="00000000" w:rsidRPr="00000000" w14:paraId="00000004">
      <w:pPr>
        <w:contextualSpacing w:val="0"/>
        <w:rPr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sz w:val="32"/>
          <w:szCs w:val="32"/>
          <w:rtl w:val="0"/>
        </w:rPr>
        <w:t xml:space="preserve">9.00-13.30 </w:t>
      </w:r>
    </w:p>
    <w:p w:rsidR="00000000" w:rsidDel="00000000" w:rsidP="00000000" w:rsidRDefault="00000000" w:rsidRPr="00000000" w14:paraId="00000005">
      <w:pPr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Панельная дискуссия </w:t>
      </w:r>
    </w:p>
    <w:p w:rsidR="00000000" w:rsidDel="00000000" w:rsidP="00000000" w:rsidRDefault="00000000" w:rsidRPr="00000000" w14:paraId="0000000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«Индустрия 4:0». </w:t>
      </w:r>
    </w:p>
    <w:p w:rsidR="00000000" w:rsidDel="00000000" w:rsidP="00000000" w:rsidRDefault="00000000" w:rsidRPr="00000000" w14:paraId="0000000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9.00-11.00</w:t>
      </w:r>
    </w:p>
    <w:p w:rsidR="00000000" w:rsidDel="00000000" w:rsidP="00000000" w:rsidRDefault="00000000" w:rsidRPr="00000000" w14:paraId="0000000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«Цифровая трансформация промышленности»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Приглашены к участию: </w:t>
      </w:r>
      <w:r w:rsidDel="00000000" w:rsidR="00000000" w:rsidRPr="00000000">
        <w:rPr>
          <w:rtl w:val="0"/>
        </w:rPr>
        <w:t xml:space="preserve">генеральный директор Средне-Невского судостроительного завода Владимир Середоха,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Генеральный директор ООО «САП СНГ» Наталья Парменова, Генеральный директор компании КУКА Роботикс Рус Дмитрий Капишников, Генеральный директор ГК «АСКОН» Максим Богданов, председатель </w:t>
      </w:r>
      <w:r w:rsidDel="00000000" w:rsidR="00000000" w:rsidRPr="00000000">
        <w:rPr>
          <w:rtl w:val="0"/>
        </w:rPr>
        <w:t xml:space="preserve">Комитета по промышленной политике и инновациям Санкт-Петербурга Максим Мейксин, Генеральный менеджер «Кавасаки хеви индастрис рус» Даимон Мотоко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Вопросы для обсуждения:</w:t>
      </w:r>
    </w:p>
    <w:p w:rsidR="00000000" w:rsidDel="00000000" w:rsidP="00000000" w:rsidRDefault="00000000" w:rsidRPr="00000000" w14:paraId="0000000C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1.  Как государство оказывает финансовую поддержку инновационным отраслям? Как создаются отраслевые инжиниринговые центры?</w:t>
      </w:r>
    </w:p>
    <w:p w:rsidR="00000000" w:rsidDel="00000000" w:rsidP="00000000" w:rsidRDefault="00000000" w:rsidRPr="00000000" w14:paraId="0000000D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2. Трансформация или смерть? Новая жизнь старых отраслей. Как новая реальность адаптируется к существующим производствам? Способны ли они создавать новые конкурирующие продукты на новых рынках? Каковы методы борьбы с информационными рисками?</w:t>
      </w:r>
    </w:p>
    <w:p w:rsidR="00000000" w:rsidDel="00000000" w:rsidP="00000000" w:rsidRDefault="00000000" w:rsidRPr="00000000" w14:paraId="0000000E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3. Готовы ли российские предприятия работать по модели «умного» контрактного производства; Требования к контрактным производителям, предъявляемые ведущими мировыми компаниями; Меры государственной поддержки российским предприятиям и промышленным кластерам для обеспечения перехода на контрактную модель производства</w:t>
      </w:r>
    </w:p>
    <w:p w:rsidR="00000000" w:rsidDel="00000000" w:rsidP="00000000" w:rsidRDefault="00000000" w:rsidRPr="00000000" w14:paraId="0000000F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4.   Как компаниям сохранить конкурентоспособность в условиях трансформации индустрии и рынка? Как извлечь прибыль из цифровизации и провести комплексную трансформацию бизнеса, получив максимальную отдачу от вложенных средств?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Модераторы</w:t>
      </w:r>
      <w:r w:rsidDel="00000000" w:rsidR="00000000" w:rsidRPr="00000000">
        <w:rPr>
          <w:rtl w:val="0"/>
        </w:rPr>
        <w:t xml:space="preserve">: Кирилл Соловейчик, Генеральный директор ОАО «Ленполиграфмаш», Антон Думин, CIO ОСК</w:t>
      </w:r>
    </w:p>
    <w:p w:rsidR="00000000" w:rsidDel="00000000" w:rsidP="00000000" w:rsidRDefault="00000000" w:rsidRPr="00000000" w14:paraId="00000011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11.00. -13.00</w:t>
      </w:r>
    </w:p>
    <w:p w:rsidR="00000000" w:rsidDel="00000000" w:rsidP="00000000" w:rsidRDefault="00000000" w:rsidRPr="00000000" w14:paraId="0000001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«Кадры для цифрового производства»</w:t>
      </w:r>
    </w:p>
    <w:p w:rsidR="00000000" w:rsidDel="00000000" w:rsidP="00000000" w:rsidRDefault="00000000" w:rsidRPr="00000000" w14:paraId="00000013">
      <w:pPr>
        <w:ind w:left="360"/>
        <w:contextualSpacing w:val="0"/>
        <w:rPr/>
      </w:pPr>
      <w:r w:rsidDel="00000000" w:rsidR="00000000" w:rsidRPr="00000000">
        <w:rPr>
          <w:rtl w:val="0"/>
        </w:rPr>
        <w:t xml:space="preserve">1.   </w:t>
        <w:tab/>
        <w:t xml:space="preserve">Как технологии Индустрии 4.0 влияют на производственные процессы и отражаются на требованиях к компетенциям специалистов? Какие из них становятся наиболее значимыми, а какие теряют актуальность?</w:t>
      </w:r>
    </w:p>
    <w:p w:rsidR="00000000" w:rsidDel="00000000" w:rsidP="00000000" w:rsidRDefault="00000000" w:rsidRPr="00000000" w14:paraId="00000014">
      <w:pPr>
        <w:ind w:left="360"/>
        <w:contextualSpacing w:val="0"/>
        <w:rPr/>
      </w:pPr>
      <w:r w:rsidDel="00000000" w:rsidR="00000000" w:rsidRPr="00000000">
        <w:rPr>
          <w:rtl w:val="0"/>
        </w:rPr>
        <w:t xml:space="preserve">2.   </w:t>
        <w:tab/>
        <w:t xml:space="preserve">Как стать успешным специалистом будущего, где получить востребованные компетенции? Как работодатели могут влиять на формирование собственного кадрового потенциала?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Приглашены к участию: </w:t>
      </w:r>
      <w:r w:rsidDel="00000000" w:rsidR="00000000" w:rsidRPr="00000000">
        <w:rPr>
          <w:rtl w:val="0"/>
        </w:rPr>
        <w:t xml:space="preserve">вице-президент по продажам и руководителем направления индустриальных решений IBM в Центральной и Восточной Европе Кирилл Корнильев,  генеральный директор АО «Центр технологии судостроения и судоремонта» Михаил Александров, директор ООО «Робовизард» Игорь Рыженков, генеральный директор «Аскон» Максим Богданов, генеральный директор «Дассо Систем» Алексей Рыжов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